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98B0" w14:textId="0A4D66E9" w:rsidR="00CE2EBD" w:rsidRDefault="00CE2EBD">
      <w:r>
        <w:rPr>
          <w:b/>
          <w:bCs/>
          <w:noProof/>
          <w:lang w:val="es-ES"/>
        </w:rPr>
        <w:drawing>
          <wp:inline distT="0" distB="0" distL="0" distR="0" wp14:anchorId="5671A0A8" wp14:editId="74A1958C">
            <wp:extent cx="5400040" cy="820483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BD"/>
    <w:rsid w:val="00157617"/>
    <w:rsid w:val="005C3F96"/>
    <w:rsid w:val="00A23001"/>
    <w:rsid w:val="00C73513"/>
    <w:rsid w:val="00C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9C38"/>
  <w15:chartTrackingRefBased/>
  <w15:docId w15:val="{6C3BF7B3-5D7D-4997-8219-E5C3BA7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 Periódico La Comuna de Villa Regina</dc:creator>
  <cp:keywords/>
  <dc:description/>
  <cp:lastModifiedBy>LCR Periódico La Comuna de Villa Regina</cp:lastModifiedBy>
  <cp:revision>1</cp:revision>
  <dcterms:created xsi:type="dcterms:W3CDTF">2024-04-30T12:08:00Z</dcterms:created>
  <dcterms:modified xsi:type="dcterms:W3CDTF">2024-04-30T12:08:00Z</dcterms:modified>
</cp:coreProperties>
</file>